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E174C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86E1D4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CF9E0C5">
      <w:pPr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lang w:val="de-D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de-DE"/>
        </w:rPr>
        <w:t>维生素C注射液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de-DE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</w:rPr>
        <w:t>注射用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lang w:val="de-DE"/>
        </w:rPr>
        <w:t>维生素C、维生素C</w:t>
      </w:r>
    </w:p>
    <w:p w14:paraId="6151B143">
      <w:pPr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de-D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44"/>
          <w:szCs w:val="44"/>
          <w:lang w:val="de-DE"/>
        </w:rPr>
        <w:t>葡萄糖注射液、维生素C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de-DE"/>
        </w:rPr>
        <w:t>氯化钠注射液</w:t>
      </w:r>
    </w:p>
    <w:p w14:paraId="3F1F9FBD">
      <w:pPr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说明书修订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要求</w:t>
      </w:r>
    </w:p>
    <w:p w14:paraId="5354AD9E">
      <w:pPr>
        <w:spacing w:beforeLines="0" w:afterLines="0"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DB22922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一、【不良反应】项应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包含且不限于以下内容：</w:t>
      </w:r>
    </w:p>
    <w:p w14:paraId="503099D5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上市后监测中发现本品有以下不良反应/事件报告（发生率未知）：</w:t>
      </w:r>
    </w:p>
    <w:p w14:paraId="2313C10C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de-DE"/>
        </w:rPr>
        <w:t>全身性反应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：畏寒、寒战、发热等。</w:t>
      </w:r>
    </w:p>
    <w:p w14:paraId="068B2800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de-DE"/>
        </w:rPr>
        <w:t>皮肤及附件：潮红、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皮疹、瘙痒、红斑等。</w:t>
      </w:r>
    </w:p>
    <w:p w14:paraId="5A7657E1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de-DE"/>
        </w:rPr>
        <w:t>胃肠系统：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恶心、呕吐等。</w:t>
      </w:r>
    </w:p>
    <w:p w14:paraId="2A0077FA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de-DE"/>
        </w:rPr>
        <w:t>神经及精神系统：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头晕、震颤、头痛等。</w:t>
      </w:r>
    </w:p>
    <w:p w14:paraId="598C22B5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de-DE"/>
        </w:rPr>
        <w:t>呼吸系统：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呼吸困难、呼吸急促等。</w:t>
      </w:r>
    </w:p>
    <w:p w14:paraId="1FDFD7F4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de-DE"/>
        </w:rPr>
        <w:t>心血管系统：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胸部不适、心悸等。</w:t>
      </w:r>
    </w:p>
    <w:p w14:paraId="67CFE4CB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de-DE"/>
        </w:rPr>
        <w:t>免疫系统：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过敏反应、过敏样反应，严重者可出现过敏性休克等。</w:t>
      </w:r>
    </w:p>
    <w:p w14:paraId="75915B7A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局部反应：静脉炎等。</w:t>
      </w:r>
    </w:p>
    <w:p w14:paraId="18EE407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二、【禁忌】项应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包含且不限于以下内容：</w:t>
      </w:r>
    </w:p>
    <w:p w14:paraId="215BA12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对本品及所含成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过敏者禁用。</w:t>
      </w:r>
    </w:p>
    <w:p w14:paraId="13DF5F05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、【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注意事项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】应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/>
        </w:rPr>
        <w:t>包含且不限于以下内容：</w:t>
      </w:r>
    </w:p>
    <w:p w14:paraId="5724AC5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1.按照药品说明书规定的适应症、推荐剂量使用药品。</w:t>
      </w:r>
    </w:p>
    <w:p w14:paraId="76E59972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2.与其他药品配伍使用可能增加不良反应的风险。</w:t>
      </w:r>
    </w:p>
    <w:p w14:paraId="02A7103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（注：如原批准说明书的安全性内容较本修订建议内容更全面或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更严格的，应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保留原批准内容。说明书其他内容如与上述修订要求不一致的，应当一并进行修订。）</w:t>
      </w:r>
    </w:p>
    <w:p w14:paraId="13326ABD">
      <w:pPr>
        <w:spacing w:beforeLines="0" w:afterLines="0" w:line="59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7EFBA86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72E4"/>
    <w:rsid w:val="1B0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2025-10-09T07:10:00Z</dcterms:created>
  <dc:creator>新祺</dc:creator>
  <cp:lastModifiedBy>新祺</cp:lastModifiedBy>
  <dcterms:modified xsi:type="dcterms:W3CDTF">2025-10-09T07:11:26Z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ECDD3378B4AC4704B32EA2F660D757DD_11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