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315E">
      <w:pPr>
        <w:spacing w:line="54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5E315E">
      <w:pPr>
        <w:spacing w:line="54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p w:rsidR="00000000" w:rsidRDefault="005E315E">
      <w:pPr>
        <w:spacing w:line="5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盐酸赖氨酸注射剂</w:t>
      </w:r>
      <w:r>
        <w:rPr>
          <w:rFonts w:ascii="方正小标宋简体" w:eastAsia="方正小标宋简体" w:hAnsi="仿宋" w:hint="eastAsia"/>
          <w:sz w:val="44"/>
          <w:szCs w:val="44"/>
        </w:rPr>
        <w:t>说明书修订</w:t>
      </w:r>
      <w:r>
        <w:rPr>
          <w:rFonts w:ascii="方正小标宋简体" w:eastAsia="方正小标宋简体" w:hAnsi="仿宋" w:hint="eastAsia"/>
          <w:sz w:val="44"/>
          <w:szCs w:val="44"/>
        </w:rPr>
        <w:t>要求</w:t>
      </w:r>
    </w:p>
    <w:p w:rsidR="00000000" w:rsidRDefault="005E315E">
      <w:pPr>
        <w:spacing w:line="540" w:lineRule="exact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000000" w:rsidRDefault="005E315E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28"/>
        </w:rPr>
        <w:t>【不良反应】项</w:t>
      </w:r>
      <w:r>
        <w:rPr>
          <w:rFonts w:ascii="黑体" w:eastAsia="黑体" w:hAnsi="黑体" w:hint="eastAsia"/>
          <w:sz w:val="32"/>
          <w:szCs w:val="28"/>
        </w:rPr>
        <w:t>下</w:t>
      </w:r>
      <w:r>
        <w:rPr>
          <w:rFonts w:ascii="黑体" w:eastAsia="黑体" w:hAnsi="黑体"/>
          <w:sz w:val="32"/>
          <w:szCs w:val="28"/>
        </w:rPr>
        <w:t>应包含</w:t>
      </w:r>
      <w:r>
        <w:rPr>
          <w:rFonts w:ascii="黑体" w:eastAsia="黑体" w:hAnsi="黑体" w:hint="eastAsia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上市后监测中发现本品有以下不良反应</w:t>
      </w:r>
      <w:r>
        <w:rPr>
          <w:rFonts w:eastAsia="仿宋_GB2312"/>
          <w:sz w:val="32"/>
          <w:szCs w:val="28"/>
        </w:rPr>
        <w:t>/</w:t>
      </w:r>
      <w:r>
        <w:rPr>
          <w:rFonts w:eastAsia="仿宋_GB2312" w:hint="eastAsia"/>
          <w:sz w:val="32"/>
          <w:szCs w:val="28"/>
        </w:rPr>
        <w:t>事件报告（发生率未知）：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</w:t>
      </w:r>
      <w:r>
        <w:rPr>
          <w:rFonts w:eastAsia="仿宋_GB2312" w:hint="eastAsia"/>
          <w:sz w:val="32"/>
          <w:szCs w:val="28"/>
        </w:rPr>
        <w:t>皮肤及皮下组织：皮疹、荨麻疹、斑丘疹、红斑疹、瘙痒、多汗等。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2.</w:t>
      </w:r>
      <w:r>
        <w:rPr>
          <w:rFonts w:eastAsia="仿宋_GB2312" w:hint="eastAsia"/>
          <w:sz w:val="32"/>
          <w:szCs w:val="28"/>
        </w:rPr>
        <w:t>胃肠系统：</w:t>
      </w:r>
      <w:r>
        <w:rPr>
          <w:rFonts w:eastAsia="仿宋_GB2312" w:hint="eastAsia"/>
          <w:sz w:val="32"/>
          <w:szCs w:val="28"/>
        </w:rPr>
        <w:t>恶心、呕吐、胃肠不适、腹痛、腹泻、腹胀、胃肠胀气等。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</w:t>
      </w:r>
      <w:r>
        <w:rPr>
          <w:rFonts w:eastAsia="仿宋_GB2312" w:hint="eastAsia"/>
          <w:sz w:val="32"/>
          <w:szCs w:val="28"/>
        </w:rPr>
        <w:t>全身性及给药部位反应：寒战、发热、胸闷、畏寒、乏力、四肢酸痛、注射部位红肿、注射部位疼痛等。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</w:t>
      </w:r>
      <w:r>
        <w:rPr>
          <w:rFonts w:eastAsia="仿宋_GB2312" w:hint="eastAsia"/>
          <w:sz w:val="32"/>
          <w:szCs w:val="28"/>
        </w:rPr>
        <w:t>神经及精神反应：头晕、头痛、局部麻木、抽搐、震颤、烦燥、失眠、意识模糊、视物模糊等。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</w:t>
      </w:r>
      <w:r>
        <w:rPr>
          <w:rFonts w:eastAsia="仿宋_GB2312" w:hint="eastAsia"/>
          <w:sz w:val="32"/>
          <w:szCs w:val="28"/>
        </w:rPr>
        <w:t>心脏器官反应：心悸、紫绀、心动过速、血压升高、血压降低等。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6.</w:t>
      </w:r>
      <w:r>
        <w:rPr>
          <w:rFonts w:eastAsia="仿宋_GB2312" w:hint="eastAsia"/>
          <w:sz w:val="32"/>
          <w:szCs w:val="28"/>
        </w:rPr>
        <w:t>血管与淋巴管类：潮红、静脉炎等。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7.</w:t>
      </w:r>
      <w:r>
        <w:rPr>
          <w:rFonts w:eastAsia="仿宋_GB2312" w:hint="eastAsia"/>
          <w:sz w:val="32"/>
          <w:szCs w:val="28"/>
        </w:rPr>
        <w:t>呼吸系统：呼吸困难、咳嗽、呼吸急促等。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8.</w:t>
      </w:r>
      <w:r>
        <w:rPr>
          <w:rFonts w:eastAsia="仿宋_GB2312" w:hint="eastAsia"/>
          <w:sz w:val="32"/>
          <w:szCs w:val="28"/>
        </w:rPr>
        <w:t>免疫系统：超敏反应、过敏性休克等。</w:t>
      </w:r>
    </w:p>
    <w:p w:rsidR="00000000" w:rsidRDefault="005E315E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</w:t>
      </w:r>
      <w:r>
        <w:rPr>
          <w:rFonts w:ascii="黑体" w:eastAsia="黑体" w:hAnsi="黑体"/>
          <w:sz w:val="32"/>
          <w:szCs w:val="28"/>
        </w:rPr>
        <w:t>、【</w:t>
      </w:r>
      <w:r>
        <w:rPr>
          <w:rFonts w:ascii="黑体" w:eastAsia="黑体" w:hAnsi="黑体" w:hint="eastAsia"/>
          <w:sz w:val="32"/>
          <w:szCs w:val="28"/>
        </w:rPr>
        <w:t>禁忌</w:t>
      </w:r>
      <w:r>
        <w:rPr>
          <w:rFonts w:ascii="黑体" w:eastAsia="黑体" w:hAnsi="黑体"/>
          <w:sz w:val="32"/>
          <w:szCs w:val="28"/>
        </w:rPr>
        <w:t>】</w:t>
      </w:r>
      <w:r>
        <w:rPr>
          <w:rFonts w:ascii="黑体" w:eastAsia="黑体" w:hAnsi="黑体" w:hint="eastAsia"/>
          <w:sz w:val="32"/>
          <w:szCs w:val="28"/>
        </w:rPr>
        <w:t>项</w:t>
      </w:r>
      <w:r>
        <w:rPr>
          <w:rFonts w:ascii="黑体" w:eastAsia="黑体" w:hAnsi="黑体" w:hint="eastAsia"/>
          <w:sz w:val="32"/>
          <w:szCs w:val="28"/>
        </w:rPr>
        <w:t>下</w:t>
      </w:r>
      <w:r>
        <w:rPr>
          <w:rFonts w:ascii="黑体" w:eastAsia="黑体" w:hAnsi="黑体"/>
          <w:sz w:val="32"/>
          <w:szCs w:val="28"/>
        </w:rPr>
        <w:t>应包含</w:t>
      </w:r>
      <w:r>
        <w:rPr>
          <w:rFonts w:ascii="黑体" w:eastAsia="黑体" w:hAnsi="黑体" w:hint="eastAsia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Chars="200" w:firstLine="640"/>
        <w:rPr>
          <w:rFonts w:ascii="Calibri" w:eastAsia="仿宋_GB2312" w:hAnsi="Calibri"/>
          <w:sz w:val="32"/>
          <w:szCs w:val="28"/>
        </w:rPr>
      </w:pPr>
      <w:r>
        <w:rPr>
          <w:rFonts w:ascii="Calibri" w:eastAsia="仿宋_GB2312" w:hAnsi="Calibri"/>
          <w:sz w:val="32"/>
          <w:szCs w:val="28"/>
        </w:rPr>
        <w:t>对本品中任何成份过敏者禁用</w:t>
      </w:r>
      <w:r>
        <w:rPr>
          <w:rFonts w:ascii="Calibri" w:eastAsia="仿宋_GB2312" w:hAnsi="Calibri" w:hint="eastAsia"/>
          <w:sz w:val="32"/>
          <w:szCs w:val="28"/>
        </w:rPr>
        <w:t>。</w:t>
      </w:r>
    </w:p>
    <w:p w:rsidR="00000000" w:rsidRDefault="005E315E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</w:t>
      </w:r>
      <w:r>
        <w:rPr>
          <w:rFonts w:ascii="黑体" w:eastAsia="黑体" w:hAnsi="黑体" w:hint="eastAsia"/>
          <w:sz w:val="32"/>
          <w:szCs w:val="28"/>
        </w:rPr>
        <w:t>、【注意事项】项</w:t>
      </w:r>
      <w:r>
        <w:rPr>
          <w:rFonts w:ascii="黑体" w:eastAsia="黑体" w:hAnsi="黑体" w:hint="eastAsia"/>
          <w:sz w:val="32"/>
          <w:szCs w:val="28"/>
        </w:rPr>
        <w:t>下</w:t>
      </w:r>
      <w:r>
        <w:rPr>
          <w:rFonts w:ascii="黑体" w:eastAsia="黑体" w:hAnsi="黑体"/>
          <w:sz w:val="32"/>
          <w:szCs w:val="28"/>
        </w:rPr>
        <w:t>应</w:t>
      </w:r>
      <w:r>
        <w:rPr>
          <w:rFonts w:ascii="黑体" w:eastAsia="黑体" w:hAnsi="黑体"/>
          <w:sz w:val="32"/>
          <w:szCs w:val="28"/>
        </w:rPr>
        <w:t>包含</w:t>
      </w:r>
      <w:r>
        <w:rPr>
          <w:rFonts w:ascii="黑体" w:eastAsia="黑体" w:hAnsi="黑体" w:hint="eastAsia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1.</w:t>
      </w:r>
      <w:r>
        <w:rPr>
          <w:rFonts w:eastAsia="仿宋_GB2312" w:hint="eastAsia"/>
          <w:sz w:val="32"/>
          <w:szCs w:val="28"/>
        </w:rPr>
        <w:t>急性缺血性脑血管病患者慎用。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lastRenderedPageBreak/>
        <w:t>2.</w:t>
      </w:r>
      <w:r>
        <w:rPr>
          <w:rFonts w:eastAsia="仿宋_GB2312" w:hint="eastAsia"/>
          <w:sz w:val="32"/>
          <w:szCs w:val="28"/>
        </w:rPr>
        <w:t>肾功能不全者慎用。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3.</w:t>
      </w:r>
      <w:r>
        <w:rPr>
          <w:rFonts w:eastAsia="仿宋_GB2312" w:hint="eastAsia"/>
          <w:sz w:val="32"/>
          <w:szCs w:val="28"/>
        </w:rPr>
        <w:t>酸中毒、高血氯者慎用。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4.</w:t>
      </w:r>
      <w:r>
        <w:rPr>
          <w:rFonts w:eastAsia="仿宋_GB2312" w:hint="eastAsia"/>
          <w:sz w:val="32"/>
          <w:szCs w:val="28"/>
        </w:rPr>
        <w:t>本品不宜与其他药品混合配伍使用。</w:t>
      </w: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5.</w:t>
      </w:r>
      <w:r>
        <w:rPr>
          <w:rFonts w:eastAsia="仿宋_GB2312" w:hint="eastAsia"/>
          <w:sz w:val="32"/>
          <w:szCs w:val="28"/>
        </w:rPr>
        <w:t>儿童使用盐酸赖氨酸注射剂的安全性有效性尚不明确，不建议儿童使用。</w:t>
      </w:r>
    </w:p>
    <w:p w:rsidR="00000000" w:rsidRDefault="005E315E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</w:t>
      </w:r>
      <w:r>
        <w:rPr>
          <w:rFonts w:ascii="黑体" w:eastAsia="黑体" w:hAnsi="黑体" w:hint="eastAsia"/>
          <w:sz w:val="32"/>
          <w:szCs w:val="28"/>
        </w:rPr>
        <w:t>、【儿童用药】项</w:t>
      </w:r>
      <w:r>
        <w:rPr>
          <w:rFonts w:ascii="黑体" w:eastAsia="黑体" w:hAnsi="黑体" w:hint="eastAsia"/>
          <w:sz w:val="32"/>
          <w:szCs w:val="28"/>
        </w:rPr>
        <w:t>下</w:t>
      </w:r>
      <w:r>
        <w:rPr>
          <w:rFonts w:ascii="黑体" w:eastAsia="黑体" w:hAnsi="黑体"/>
          <w:sz w:val="32"/>
          <w:szCs w:val="28"/>
        </w:rPr>
        <w:t>应包含</w:t>
      </w:r>
      <w:r>
        <w:rPr>
          <w:rFonts w:ascii="黑体" w:eastAsia="黑体" w:hAnsi="黑体" w:hint="eastAsia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Chars="200" w:firstLine="640"/>
        <w:rPr>
          <w:rFonts w:ascii="Calibri" w:eastAsia="仿宋_GB2312" w:hAnsi="Calibri"/>
          <w:sz w:val="32"/>
          <w:szCs w:val="28"/>
        </w:rPr>
      </w:pPr>
      <w:r>
        <w:rPr>
          <w:rFonts w:ascii="Calibri" w:eastAsia="仿宋_GB2312" w:hAnsi="Calibri" w:hint="eastAsia"/>
          <w:sz w:val="32"/>
          <w:szCs w:val="28"/>
        </w:rPr>
        <w:t>未进行该项试验且无可靠参考文献，不建议儿童使用盐酸赖氨酸注射剂。</w:t>
      </w:r>
    </w:p>
    <w:p w:rsidR="00000000" w:rsidRDefault="005E315E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</w:t>
      </w:r>
      <w:r>
        <w:rPr>
          <w:rFonts w:ascii="黑体" w:eastAsia="黑体" w:hAnsi="黑体" w:hint="eastAsia"/>
          <w:sz w:val="32"/>
          <w:szCs w:val="28"/>
        </w:rPr>
        <w:t>、【老年用药】项</w:t>
      </w:r>
      <w:r>
        <w:rPr>
          <w:rFonts w:ascii="黑体" w:eastAsia="黑体" w:hAnsi="黑体" w:hint="eastAsia"/>
          <w:sz w:val="32"/>
          <w:szCs w:val="28"/>
        </w:rPr>
        <w:t>下</w:t>
      </w:r>
      <w:r>
        <w:rPr>
          <w:rFonts w:ascii="黑体" w:eastAsia="黑体" w:hAnsi="黑体"/>
          <w:sz w:val="32"/>
          <w:szCs w:val="28"/>
        </w:rPr>
        <w:t>应包含</w:t>
      </w:r>
      <w:r>
        <w:rPr>
          <w:rFonts w:ascii="黑体" w:eastAsia="黑体" w:hAnsi="黑体" w:hint="eastAsia"/>
          <w:sz w:val="32"/>
          <w:szCs w:val="28"/>
        </w:rPr>
        <w:t>以下内容</w:t>
      </w:r>
    </w:p>
    <w:p w:rsidR="00000000" w:rsidRDefault="005E315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Calibri" w:eastAsia="仿宋_GB2312" w:hAnsi="Calibri" w:hint="eastAsia"/>
          <w:sz w:val="32"/>
          <w:szCs w:val="28"/>
        </w:rPr>
        <w:t>肾功能减退者，应酌情减量，谨慎使用。或遵医嘱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00000" w:rsidRDefault="005E315E">
      <w:pPr>
        <w:tabs>
          <w:tab w:val="left" w:pos="1470"/>
          <w:tab w:val="left" w:pos="16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5E315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</w:t>
      </w:r>
      <w:r>
        <w:rPr>
          <w:rFonts w:eastAsia="仿宋_GB2312"/>
          <w:color w:val="000000"/>
          <w:sz w:val="32"/>
          <w:szCs w:val="32"/>
        </w:rPr>
        <w:t>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5E315E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p w:rsidR="005E315E" w:rsidRDefault="005E315E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5E315E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5E" w:rsidRDefault="005E315E">
      <w:r>
        <w:separator/>
      </w:r>
    </w:p>
  </w:endnote>
  <w:endnote w:type="continuationSeparator" w:id="0">
    <w:p w:rsidR="005E315E" w:rsidRDefault="005E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6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315E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5E315E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6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315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6B5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/w3z&#10;k8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5E315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26B5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5E" w:rsidRDefault="005E315E">
      <w:r>
        <w:separator/>
      </w:r>
    </w:p>
  </w:footnote>
  <w:footnote w:type="continuationSeparator" w:id="0">
    <w:p w:rsidR="005E315E" w:rsidRDefault="005E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52FB2"/>
    <w:rsid w:val="00216A95"/>
    <w:rsid w:val="005E315E"/>
    <w:rsid w:val="00A26B56"/>
    <w:rsid w:val="3FE52FB2"/>
    <w:rsid w:val="7F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0F953-42EF-43BD-A18A-AB76271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2023-01-16T09:35:00Z</dcterms:created>
  <dcterms:modified xsi:type="dcterms:W3CDTF">2023-01-16T09:35:00Z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